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9" w:rsidRDefault="00F15909" w:rsidP="00F1590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09" w:rsidRDefault="00F15909" w:rsidP="00F15909">
      <w:pPr>
        <w:rPr>
          <w:sz w:val="28"/>
          <w:szCs w:val="28"/>
        </w:rPr>
      </w:pPr>
    </w:p>
    <w:p w:rsidR="00F15909" w:rsidRPr="00F15909" w:rsidRDefault="00F15909" w:rsidP="00F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15909">
        <w:rPr>
          <w:rFonts w:ascii="Times New Roman" w:hAnsi="Times New Roman" w:cs="Times New Roman"/>
          <w:b/>
          <w:bCs/>
          <w:sz w:val="28"/>
        </w:rPr>
        <w:t>ДУМА АНДРЕАПОЛЬСКОГО МУНИЦИПАЛЬНОГО ОКРУГА</w:t>
      </w:r>
    </w:p>
    <w:p w:rsidR="00F15909" w:rsidRPr="00F15909" w:rsidRDefault="00F15909" w:rsidP="00F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90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5909" w:rsidRPr="00F15909" w:rsidRDefault="00F15909" w:rsidP="00F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909" w:rsidRPr="00F15909" w:rsidRDefault="00F15909" w:rsidP="00F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90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15909" w:rsidRPr="00F15909" w:rsidRDefault="00F15909" w:rsidP="00F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09" w:rsidRPr="00F15909" w:rsidRDefault="00320DCF" w:rsidP="00F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</w:t>
      </w:r>
      <w:r w:rsidR="00F15909" w:rsidRPr="00F15909">
        <w:rPr>
          <w:rFonts w:ascii="Times New Roman" w:hAnsi="Times New Roman" w:cs="Times New Roman"/>
          <w:sz w:val="28"/>
          <w:szCs w:val="28"/>
        </w:rPr>
        <w:t>2020                                 г. Андреаполь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4E5C0D" w:rsidRPr="00864DB0" w:rsidRDefault="00BE371D" w:rsidP="0080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5EF">
        <w:rPr>
          <w:rFonts w:ascii="Times New Roman" w:eastAsia="Times New Roman" w:hAnsi="Times New Roman" w:cs="Times New Roman"/>
          <w:sz w:val="24"/>
          <w:szCs w:val="24"/>
        </w:rPr>
        <w:br/>
      </w:r>
      <w:r w:rsidR="004E5C0D" w:rsidRPr="0086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муниципальной собственности </w:t>
      </w:r>
      <w:r w:rsidR="00582B0B" w:rsidRPr="0086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90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582B0B" w:rsidRPr="0086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дреапольского муниципального </w:t>
      </w:r>
      <w:r w:rsidR="004E5C0D" w:rsidRPr="00864D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округа, при заключении договоров купли-продажи земельных участков без проведения торгов</w:t>
      </w:r>
    </w:p>
    <w:p w:rsidR="00F15909" w:rsidRPr="00F15909" w:rsidRDefault="004E5C0D" w:rsidP="00F1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62E06"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3 пункта 2 статьи 39.4 Земельного кодекса Российской Федерации, частью 36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ст. 16 Федерального закона от 06.10.2003 № 131-ФЗ «Об общих принципах организации местного самоупр</w:t>
      </w:r>
      <w:r w:rsid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582B0B"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Тверской области</w:t>
      </w:r>
      <w:r w:rsid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09" w:rsidRPr="00F15909">
        <w:rPr>
          <w:rFonts w:ascii="Times New Roman" w:hAnsi="Times New Roman" w:cs="Times New Roman"/>
          <w:sz w:val="28"/>
          <w:szCs w:val="28"/>
        </w:rPr>
        <w:t>Дума Андреапольского муниципального округа</w:t>
      </w:r>
    </w:p>
    <w:p w:rsidR="00F15909" w:rsidRPr="00F15909" w:rsidRDefault="00F15909" w:rsidP="00F159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90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15909">
        <w:rPr>
          <w:rFonts w:ascii="Times New Roman" w:hAnsi="Times New Roman" w:cs="Times New Roman"/>
          <w:sz w:val="28"/>
          <w:szCs w:val="28"/>
        </w:rPr>
        <w:t>:</w:t>
      </w:r>
    </w:p>
    <w:p w:rsidR="004E5C0D" w:rsidRDefault="00A14266" w:rsidP="00F1590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E5C0D"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определения цены земельных участков, находящихся в муниципальной собственности </w:t>
      </w:r>
      <w:r w:rsidR="00582B0B"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="004E5C0D" w:rsidRPr="0086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при заключении договоров купли-продажи земельных участков без проведения торгов (прилагается).</w:t>
      </w:r>
    </w:p>
    <w:p w:rsidR="00A14266" w:rsidRPr="00864DB0" w:rsidRDefault="00A14266" w:rsidP="00F159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="00F15909">
        <w:rPr>
          <w:color w:val="000000"/>
          <w:sz w:val="28"/>
          <w:szCs w:val="28"/>
        </w:rPr>
        <w:t xml:space="preserve"> </w:t>
      </w:r>
      <w:r w:rsidRPr="000314E9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0314E9">
        <w:rPr>
          <w:color w:val="000000"/>
          <w:sz w:val="28"/>
          <w:szCs w:val="28"/>
        </w:rPr>
        <w:t xml:space="preserve"> в газете «</w:t>
      </w:r>
      <w:r>
        <w:rPr>
          <w:color w:val="000000"/>
          <w:sz w:val="28"/>
          <w:szCs w:val="28"/>
        </w:rPr>
        <w:t>Андреапольские вести</w:t>
      </w:r>
      <w:r w:rsidRPr="000314E9">
        <w:rPr>
          <w:color w:val="000000"/>
          <w:sz w:val="28"/>
          <w:szCs w:val="28"/>
        </w:rPr>
        <w:t xml:space="preserve">» и разместить в информационно-телекоммуникационной сети «Интернет» на сайте </w:t>
      </w:r>
      <w:r>
        <w:rPr>
          <w:color w:val="000000"/>
          <w:sz w:val="28"/>
          <w:szCs w:val="28"/>
        </w:rPr>
        <w:t>Андреапольского муниципального округа.</w:t>
      </w:r>
    </w:p>
    <w:p w:rsidR="005971CE" w:rsidRDefault="00A14266" w:rsidP="00F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801B45">
        <w:rPr>
          <w:rFonts w:ascii="Times New Roman" w:hAnsi="Times New Roman" w:cs="Times New Roman"/>
          <w:sz w:val="28"/>
          <w:szCs w:val="28"/>
        </w:rPr>
        <w:t xml:space="preserve">. </w:t>
      </w:r>
      <w:r w:rsidR="00F159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15909" w:rsidRDefault="00F15909" w:rsidP="00F15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909" w:rsidRPr="006E7EB6" w:rsidRDefault="00F15909" w:rsidP="00F15909">
      <w:pPr>
        <w:pStyle w:val="ac"/>
        <w:rPr>
          <w:rFonts w:ascii="Times New Roman" w:hAnsi="Times New Roman" w:cs="Times New Roman"/>
          <w:b/>
          <w:sz w:val="28"/>
          <w:szCs w:val="27"/>
        </w:rPr>
      </w:pPr>
      <w:r w:rsidRPr="006E7EB6">
        <w:rPr>
          <w:rFonts w:ascii="Times New Roman" w:hAnsi="Times New Roman" w:cs="Times New Roman"/>
          <w:b/>
          <w:sz w:val="28"/>
          <w:szCs w:val="27"/>
        </w:rPr>
        <w:t xml:space="preserve">Глава Андреапольского </w:t>
      </w:r>
    </w:p>
    <w:p w:rsidR="00F15909" w:rsidRPr="006E7EB6" w:rsidRDefault="00F15909" w:rsidP="00F15909">
      <w:pPr>
        <w:pStyle w:val="ac"/>
        <w:rPr>
          <w:rFonts w:ascii="Times New Roman" w:hAnsi="Times New Roman" w:cs="Times New Roman"/>
          <w:b/>
          <w:sz w:val="28"/>
          <w:szCs w:val="27"/>
        </w:rPr>
      </w:pPr>
      <w:r w:rsidRPr="006E7EB6">
        <w:rPr>
          <w:rFonts w:ascii="Times New Roman" w:hAnsi="Times New Roman" w:cs="Times New Roman"/>
          <w:b/>
          <w:sz w:val="28"/>
          <w:szCs w:val="27"/>
        </w:rPr>
        <w:lastRenderedPageBreak/>
        <w:t>муниципального округа</w:t>
      </w:r>
      <w:r w:rsidRPr="006E7EB6">
        <w:rPr>
          <w:rFonts w:ascii="Times New Roman" w:hAnsi="Times New Roman" w:cs="Times New Roman"/>
          <w:b/>
          <w:sz w:val="28"/>
          <w:szCs w:val="27"/>
        </w:rPr>
        <w:tab/>
      </w:r>
      <w:r w:rsidRPr="006E7EB6">
        <w:rPr>
          <w:rFonts w:ascii="Times New Roman" w:hAnsi="Times New Roman" w:cs="Times New Roman"/>
          <w:b/>
          <w:sz w:val="28"/>
          <w:szCs w:val="27"/>
        </w:rPr>
        <w:tab/>
      </w:r>
      <w:r w:rsidRPr="006E7EB6">
        <w:rPr>
          <w:rFonts w:ascii="Times New Roman" w:hAnsi="Times New Roman" w:cs="Times New Roman"/>
          <w:b/>
          <w:sz w:val="28"/>
          <w:szCs w:val="27"/>
        </w:rPr>
        <w:tab/>
      </w:r>
      <w:r w:rsidRPr="006E7EB6">
        <w:rPr>
          <w:rFonts w:ascii="Times New Roman" w:hAnsi="Times New Roman" w:cs="Times New Roman"/>
          <w:b/>
          <w:sz w:val="28"/>
          <w:szCs w:val="27"/>
        </w:rPr>
        <w:tab/>
      </w:r>
      <w:r w:rsidRPr="006E7EB6">
        <w:rPr>
          <w:rFonts w:ascii="Times New Roman" w:hAnsi="Times New Roman" w:cs="Times New Roman"/>
          <w:b/>
          <w:sz w:val="28"/>
          <w:szCs w:val="27"/>
        </w:rPr>
        <w:tab/>
      </w:r>
      <w:r w:rsidRPr="006E7EB6">
        <w:rPr>
          <w:rFonts w:ascii="Times New Roman" w:hAnsi="Times New Roman" w:cs="Times New Roman"/>
          <w:b/>
          <w:sz w:val="28"/>
          <w:szCs w:val="27"/>
        </w:rPr>
        <w:tab/>
        <w:t>Н.Н. Баранник</w:t>
      </w:r>
    </w:p>
    <w:p w:rsidR="00F15909" w:rsidRPr="006E7EB6" w:rsidRDefault="00F15909" w:rsidP="00F15909">
      <w:pPr>
        <w:jc w:val="both"/>
        <w:rPr>
          <w:b/>
          <w:sz w:val="28"/>
          <w:szCs w:val="26"/>
        </w:rPr>
      </w:pPr>
    </w:p>
    <w:p w:rsidR="00F15909" w:rsidRPr="00F15909" w:rsidRDefault="00F15909" w:rsidP="00F15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15909">
        <w:rPr>
          <w:rFonts w:ascii="Times New Roman" w:hAnsi="Times New Roman" w:cs="Times New Roman"/>
          <w:b/>
          <w:sz w:val="28"/>
          <w:szCs w:val="26"/>
        </w:rPr>
        <w:t xml:space="preserve">Председатель Думы Андреапольского </w:t>
      </w:r>
    </w:p>
    <w:p w:rsidR="00F15909" w:rsidRPr="00F15909" w:rsidRDefault="00F15909" w:rsidP="00F15909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15909">
        <w:rPr>
          <w:rFonts w:ascii="Times New Roman" w:hAnsi="Times New Roman" w:cs="Times New Roman"/>
          <w:b/>
          <w:sz w:val="28"/>
          <w:szCs w:val="26"/>
        </w:rPr>
        <w:t xml:space="preserve">муниципального округа   </w:t>
      </w:r>
      <w:r w:rsidRPr="00F15909">
        <w:rPr>
          <w:rFonts w:ascii="Times New Roman" w:hAnsi="Times New Roman" w:cs="Times New Roman"/>
          <w:b/>
          <w:sz w:val="28"/>
          <w:szCs w:val="26"/>
        </w:rPr>
        <w:tab/>
      </w:r>
      <w:r w:rsidRPr="00F15909">
        <w:rPr>
          <w:rFonts w:ascii="Times New Roman" w:hAnsi="Times New Roman" w:cs="Times New Roman"/>
          <w:b/>
          <w:sz w:val="28"/>
          <w:szCs w:val="26"/>
        </w:rPr>
        <w:tab/>
      </w:r>
      <w:r w:rsidRPr="00F15909">
        <w:rPr>
          <w:rFonts w:ascii="Times New Roman" w:hAnsi="Times New Roman" w:cs="Times New Roman"/>
          <w:b/>
          <w:sz w:val="28"/>
          <w:szCs w:val="26"/>
        </w:rPr>
        <w:tab/>
      </w:r>
      <w:r w:rsidRPr="00F15909">
        <w:rPr>
          <w:rFonts w:ascii="Times New Roman" w:hAnsi="Times New Roman" w:cs="Times New Roman"/>
          <w:b/>
          <w:sz w:val="28"/>
          <w:szCs w:val="26"/>
        </w:rPr>
        <w:tab/>
      </w:r>
      <w:r w:rsidRPr="00F15909">
        <w:rPr>
          <w:rFonts w:ascii="Times New Roman" w:hAnsi="Times New Roman" w:cs="Times New Roman"/>
          <w:b/>
          <w:sz w:val="28"/>
          <w:szCs w:val="26"/>
        </w:rPr>
        <w:tab/>
      </w:r>
      <w:r w:rsidRPr="00F15909">
        <w:rPr>
          <w:rFonts w:ascii="Times New Roman" w:hAnsi="Times New Roman" w:cs="Times New Roman"/>
          <w:b/>
          <w:sz w:val="28"/>
          <w:szCs w:val="26"/>
        </w:rPr>
        <w:tab/>
        <w:t>В.Я. Стенин</w:t>
      </w:r>
    </w:p>
    <w:p w:rsidR="00F15909" w:rsidRDefault="00F15909" w:rsidP="00F15909">
      <w:pPr>
        <w:pStyle w:val="ConsPlusNormal"/>
        <w:ind w:firstLine="0"/>
        <w:jc w:val="both"/>
      </w:pPr>
    </w:p>
    <w:p w:rsidR="00F15909" w:rsidRDefault="00BE371D" w:rsidP="00BE371D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5909" w:rsidRDefault="00F15909" w:rsidP="00BE371D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09" w:rsidRPr="00C90DA5" w:rsidRDefault="00F15909" w:rsidP="00F15909">
      <w:pPr>
        <w:spacing w:after="0" w:line="240" w:lineRule="auto"/>
        <w:ind w:firstLine="720"/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r w:rsidRPr="00C90DA5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F15909" w:rsidRPr="00C90DA5" w:rsidRDefault="00F15909" w:rsidP="00F15909">
      <w:pPr>
        <w:pStyle w:val="ac"/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C90DA5">
        <w:rPr>
          <w:rStyle w:val="ad"/>
          <w:rFonts w:ascii="Times New Roman" w:hAnsi="Times New Roman" w:cs="Times New Roman"/>
          <w:b w:val="0"/>
          <w:color w:val="auto"/>
        </w:rPr>
        <w:t xml:space="preserve">к </w:t>
      </w:r>
      <w:hyperlink r:id="rId7" w:anchor="sub_0" w:history="1">
        <w:r w:rsidRPr="00C90DA5">
          <w:rPr>
            <w:rStyle w:val="ae"/>
            <w:rFonts w:ascii="Times New Roman" w:hAnsi="Times New Roman" w:cs="Times New Roman"/>
            <w:b w:val="0"/>
            <w:bCs w:val="0"/>
            <w:color w:val="auto"/>
          </w:rPr>
          <w:t>решению</w:t>
        </w:r>
      </w:hyperlink>
      <w:r w:rsidRPr="00C90DA5">
        <w:rPr>
          <w:rStyle w:val="ad"/>
          <w:rFonts w:ascii="Times New Roman" w:hAnsi="Times New Roman" w:cs="Times New Roman"/>
          <w:b w:val="0"/>
          <w:color w:val="auto"/>
        </w:rPr>
        <w:t xml:space="preserve"> Думы </w:t>
      </w:r>
    </w:p>
    <w:p w:rsidR="00F15909" w:rsidRPr="00C90DA5" w:rsidRDefault="00F15909" w:rsidP="00F15909">
      <w:pPr>
        <w:pStyle w:val="ac"/>
        <w:jc w:val="right"/>
        <w:rPr>
          <w:rFonts w:ascii="Times New Roman" w:hAnsi="Times New Roman" w:cs="Times New Roman"/>
        </w:rPr>
      </w:pPr>
      <w:r w:rsidRPr="00C90DA5">
        <w:rPr>
          <w:rFonts w:ascii="Times New Roman" w:hAnsi="Times New Roman" w:cs="Times New Roman"/>
        </w:rPr>
        <w:t xml:space="preserve">Андреапольского </w:t>
      </w:r>
      <w:r w:rsidRPr="00C90DA5">
        <w:rPr>
          <w:rStyle w:val="ad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F15909" w:rsidRPr="00C90DA5" w:rsidRDefault="00320DCF" w:rsidP="00F15909">
      <w:pPr>
        <w:spacing w:after="0" w:line="240" w:lineRule="auto"/>
        <w:ind w:firstLine="720"/>
        <w:jc w:val="right"/>
        <w:rPr>
          <w:rStyle w:val="ad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от  26.03.</w:t>
      </w:r>
      <w:r w:rsidR="00F15909" w:rsidRPr="00C90DA5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 xml:space="preserve">2020 г. № </w:t>
      </w:r>
      <w:r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131</w:t>
      </w:r>
    </w:p>
    <w:p w:rsidR="004E5C0D" w:rsidRPr="005971CE" w:rsidRDefault="004E5C0D" w:rsidP="004E5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определения цены земельных участков, находящихся в муниципальной собственности </w:t>
      </w:r>
      <w:r w:rsidR="00582B0B" w:rsidRPr="0059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Андреапольского </w:t>
      </w:r>
      <w:r w:rsidR="00582B0B" w:rsidRPr="00597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59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округа, при заключении договоров купли-продажи земельных участков без проведения торгов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применяется для определения цены земельных участков, находящихся в муниципальной собственности </w:t>
      </w:r>
      <w:r w:rsidR="00582B0B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при заключении договоров купли-продажи земельных участков без проведения торгов, если иное не установлено федеральным законодательством.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Продажа без проведения торгов земельных участков, находящихся в муниципальной собственности </w:t>
      </w:r>
      <w:r w:rsidR="00582B0B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округа, за исключением земельных учас</w:t>
      </w:r>
      <w:r w:rsidR="00C9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тков, предусмотренных п.п. 3 - 6 н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астоящего Порядка, при заключении договора купли-продажи без проведения торгов определяется в размере его кадастровой стоимости, в случая продажи:</w:t>
      </w:r>
    </w:p>
    <w:p w:rsidR="004E5C0D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</w:t>
      </w:r>
      <w:r w:rsidR="00F1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иное не предусмотрено подпунктами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и 4 настоящего </w:t>
      </w:r>
      <w:r w:rsidR="00F1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1CE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</w:t>
      </w:r>
      <w:r w:rsidR="005971CE" w:rsidRPr="00597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8" w:history="1">
        <w:r w:rsidR="005971CE" w:rsidRPr="00597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от </w:t>
        </w:r>
        <w:r w:rsidR="005971CE" w:rsidRPr="005971C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24.07.2008 N 161-ФЗ "О содействии развитию жилищного строительства"</w:t>
        </w:r>
      </w:hyperlink>
      <w:r w:rsidR="005971CE" w:rsidRPr="005971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39.9Земельного кодекса Российской Федерации;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D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4E5C0D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гражданам для индивидуального жилищного строительства, ведения личного подсобного хозяйства в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="00C3189B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</w:t>
      </w:r>
    </w:p>
    <w:p w:rsidR="00801B45" w:rsidRDefault="00801B45" w:rsidP="00C90DA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15E4">
        <w:rPr>
          <w:sz w:val="28"/>
          <w:szCs w:val="28"/>
        </w:rPr>
        <w:t xml:space="preserve"> </w:t>
      </w:r>
      <w:r w:rsidR="003C15E4" w:rsidRPr="003C15E4">
        <w:rPr>
          <w:sz w:val="28"/>
          <w:szCs w:val="28"/>
        </w:rPr>
        <w:t>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15 процентам его кадастровой стоимости.</w:t>
      </w:r>
    </w:p>
    <w:p w:rsidR="003C15E4" w:rsidRPr="00801B45" w:rsidRDefault="00801B45" w:rsidP="00C90DA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C15E4" w:rsidRPr="00427C17">
        <w:rPr>
          <w:color w:val="000000" w:themeColor="text1"/>
          <w:sz w:val="28"/>
          <w:szCs w:val="28"/>
        </w:rPr>
        <w:t>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</w:t>
      </w:r>
      <w:r w:rsidR="00F15909">
        <w:rPr>
          <w:color w:val="000000" w:themeColor="text1"/>
          <w:sz w:val="28"/>
          <w:szCs w:val="28"/>
        </w:rPr>
        <w:t>ядка, предусмотренного настоящим</w:t>
      </w:r>
      <w:r w:rsidR="003C15E4" w:rsidRPr="00427C17">
        <w:rPr>
          <w:color w:val="000000" w:themeColor="text1"/>
          <w:sz w:val="28"/>
          <w:szCs w:val="28"/>
        </w:rPr>
        <w:t xml:space="preserve"> </w:t>
      </w:r>
      <w:r w:rsidR="00F15909">
        <w:rPr>
          <w:color w:val="000000" w:themeColor="text1"/>
          <w:sz w:val="28"/>
          <w:szCs w:val="28"/>
        </w:rPr>
        <w:t>пунктом</w:t>
      </w:r>
      <w:r w:rsidR="003C15E4" w:rsidRPr="00427C17">
        <w:rPr>
          <w:color w:val="000000" w:themeColor="text1"/>
          <w:sz w:val="28"/>
          <w:szCs w:val="28"/>
        </w:rPr>
        <w:t>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Продажа без проведения торгов земельных участков, находящихся в муниципальной собственности </w:t>
      </w:r>
      <w:r w:rsidR="00582B0B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осуществляется по цене, равной двум с половиной процентам кадастровой стоимости земельного участка:</w:t>
      </w:r>
    </w:p>
    <w:p w:rsidR="004E5C0D" w:rsidRPr="005971CE" w:rsidRDefault="00DC0299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и некоммерческим организациям, являющимся собственниками расположенных на таких земельных участках зданий, сооружений, если право собственности указанных лиц на эти здания, сооружения возникло до вступления в силу</w:t>
      </w:r>
      <w:r w:rsidR="00227B85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кодекса Российской </w:t>
      </w:r>
      <w:r w:rsidR="00227B85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лицам, являющимся собственниками расположенных на таких земельных участках зданий, сооружений, при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переоформлении ими права постоянного (бессрочного) пользования земельными участками;</w:t>
      </w:r>
    </w:p>
    <w:p w:rsidR="004E5C0D" w:rsidRPr="005971CE" w:rsidRDefault="004E5C0D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собственникам зданий, сооружений в отношении находящихся у них на праве аренды земельных участков в случаях, если в период со дня вступления в силу</w:t>
      </w:r>
      <w:r w:rsidR="00227B85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25.10.2001 N 137-ФЗ "О введении в действие Земельного кодекса Российской Федерации"до 1 июля 2012 года в отношении таких земельных участков осуществлено переоформление права постоянного (бессрочного) пользования на право аренды либо такие земельные участки образованы из земельных участков, указанных в настоящем пункте.</w:t>
      </w:r>
    </w:p>
    <w:p w:rsidR="00801B45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Лица, не указанные в пункте 3 настоящего Порядка и являющиеся собственниками зданий, сооружений, расположенных на земельных участках, находящихся в муниципальной собственности </w:t>
      </w:r>
      <w:r w:rsidR="00227B85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приобретают такие земельные участки, расположенные на территории </w:t>
      </w:r>
      <w:r w:rsidR="00227B85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 муниципального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по цене, равной десятикратному размеру ставки земельного налога за единицу площади земельного участка, но не более кадастровой стоимости такого земельного участка, если иное не установлено Федеральным законом.</w:t>
      </w:r>
    </w:p>
    <w:p w:rsidR="00DC0299" w:rsidRPr="00801B45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C0299" w:rsidRPr="00427C1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предусмотренного настоящей статьей.</w:t>
      </w:r>
    </w:p>
    <w:p w:rsidR="00DC0299" w:rsidRPr="00427C17" w:rsidRDefault="00DC0299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B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случаях, предусмотренных </w:t>
      </w:r>
      <w:hyperlink r:id="rId9" w:history="1">
        <w:r w:rsidRPr="00427C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"Об обороте земель сельскохозяйственного назначения"</w:t>
        </w:r>
      </w:hyperlink>
      <w:r w:rsidRPr="00427C17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приобретение в собственность без проведения торгов сельскохозяйственными организациями, а также крестьянскими (фермерскими) хозяйствами для осуществления их деятельности земельных участков из земель сельскохозяйственного назначения, находящихся у них на праве постоянного (бессрочного) пользования или праве пожизненного наследуемого владения, осуществляется по цене, равной 15 процентам кадастровой стоимости сельскохозяйственных угодий.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Цена продажи земельных участков определяется на момент заключения договоров купли – продажи.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и срок оплаты покупателем стоимости указанных в настоящем Порядке земельных участков, ответственность за нарушение условий и сроков внесения оплаты устанавливаются договором купли – продажи земельного участка.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цены земельного участка является обязательным приложением к договору купли-продажи земельного участка.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Оплата стоимости земельного участка производится единовременно. Датой оплаты стоимости земельного участка считается дата поступления денежных средств на счет, указанный в договоре купли-продажи земельного участка.</w:t>
      </w:r>
    </w:p>
    <w:p w:rsidR="004E5C0D" w:rsidRPr="005971CE" w:rsidRDefault="00801B45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Рассрочка либо отсрочка оплаты стоимости земельного участка не предусматривается.</w:t>
      </w:r>
    </w:p>
    <w:p w:rsidR="004E5C0D" w:rsidRPr="005971CE" w:rsidRDefault="00DC0299" w:rsidP="00C9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0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5C0D" w:rsidRPr="0059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перехода права собственности на земельный участок допускается только после полной оплаты его стоимости.</w:t>
      </w:r>
    </w:p>
    <w:sectPr w:rsidR="004E5C0D" w:rsidRPr="005971CE" w:rsidSect="00E82A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7B" w:rsidRDefault="000D4B7B" w:rsidP="00BE371D">
      <w:pPr>
        <w:spacing w:after="0" w:line="240" w:lineRule="auto"/>
      </w:pPr>
      <w:r>
        <w:separator/>
      </w:r>
    </w:p>
  </w:endnote>
  <w:endnote w:type="continuationSeparator" w:id="0">
    <w:p w:rsidR="000D4B7B" w:rsidRDefault="000D4B7B" w:rsidP="00B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7B" w:rsidRDefault="000D4B7B" w:rsidP="00BE371D">
      <w:pPr>
        <w:spacing w:after="0" w:line="240" w:lineRule="auto"/>
      </w:pPr>
      <w:r>
        <w:separator/>
      </w:r>
    </w:p>
  </w:footnote>
  <w:footnote w:type="continuationSeparator" w:id="0">
    <w:p w:rsidR="000D4B7B" w:rsidRDefault="000D4B7B" w:rsidP="00BE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1D" w:rsidRDefault="00BE371D" w:rsidP="00BE371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D"/>
    <w:rsid w:val="00020511"/>
    <w:rsid w:val="000B257B"/>
    <w:rsid w:val="000D4B7B"/>
    <w:rsid w:val="001B27B3"/>
    <w:rsid w:val="00227B85"/>
    <w:rsid w:val="00244C45"/>
    <w:rsid w:val="00320DCF"/>
    <w:rsid w:val="00341670"/>
    <w:rsid w:val="003C15E4"/>
    <w:rsid w:val="00427C17"/>
    <w:rsid w:val="004725CA"/>
    <w:rsid w:val="004E287D"/>
    <w:rsid w:val="004E5C0D"/>
    <w:rsid w:val="004F01C4"/>
    <w:rsid w:val="00513E1D"/>
    <w:rsid w:val="00562E06"/>
    <w:rsid w:val="0056397C"/>
    <w:rsid w:val="00582B0B"/>
    <w:rsid w:val="005971CE"/>
    <w:rsid w:val="005D3F6D"/>
    <w:rsid w:val="00682C1A"/>
    <w:rsid w:val="006B2316"/>
    <w:rsid w:val="007142EF"/>
    <w:rsid w:val="00761BD8"/>
    <w:rsid w:val="007B0C34"/>
    <w:rsid w:val="00801B45"/>
    <w:rsid w:val="00825094"/>
    <w:rsid w:val="00864DB0"/>
    <w:rsid w:val="00942208"/>
    <w:rsid w:val="00A14266"/>
    <w:rsid w:val="00AD7C24"/>
    <w:rsid w:val="00BC757A"/>
    <w:rsid w:val="00BE371D"/>
    <w:rsid w:val="00C3189B"/>
    <w:rsid w:val="00C76D57"/>
    <w:rsid w:val="00C90DA5"/>
    <w:rsid w:val="00D24D3A"/>
    <w:rsid w:val="00D45CB6"/>
    <w:rsid w:val="00DC0299"/>
    <w:rsid w:val="00E82AF7"/>
    <w:rsid w:val="00F15909"/>
    <w:rsid w:val="00F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0BC1-A308-4DFA-99B8-103E1DBB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0D"/>
    <w:rPr>
      <w:b/>
      <w:bCs/>
    </w:rPr>
  </w:style>
  <w:style w:type="character" w:styleId="a5">
    <w:name w:val="Hyperlink"/>
    <w:basedOn w:val="a0"/>
    <w:uiPriority w:val="99"/>
    <w:semiHidden/>
    <w:unhideWhenUsed/>
    <w:rsid w:val="005971CE"/>
    <w:rPr>
      <w:color w:val="0000FF"/>
      <w:u w:val="single"/>
    </w:rPr>
  </w:style>
  <w:style w:type="paragraph" w:customStyle="1" w:styleId="formattext">
    <w:name w:val="formattext"/>
    <w:basedOn w:val="a"/>
    <w:rsid w:val="003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71D"/>
  </w:style>
  <w:style w:type="paragraph" w:styleId="a8">
    <w:name w:val="footer"/>
    <w:basedOn w:val="a"/>
    <w:link w:val="a9"/>
    <w:uiPriority w:val="99"/>
    <w:semiHidden/>
    <w:unhideWhenUsed/>
    <w:rsid w:val="00BE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71D"/>
  </w:style>
  <w:style w:type="paragraph" w:customStyle="1" w:styleId="ConsPlusNormal">
    <w:name w:val="ConsPlusNormal"/>
    <w:rsid w:val="00801B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B45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F15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15909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F1590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2;&#1072;&#1090;&#1077;&#1088;&#1080;&#1085;&#1072;\Desktop\&#1052;&#1059;&#1053;%20&#1086;&#1082;&#1088;&#1091;&#1075;\5-&#1077;%20&#1079;&#1072;&#1089;&#1077;&#1076;&#1072;&#1085;&#1080;&#1077;\&#1084;&#1091;&#1085;%20&#1089;&#1083;%20&#1087;&#1086;&#1083;&#1086;&#1078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2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СистемныйАдмин</cp:lastModifiedBy>
  <cp:revision>2</cp:revision>
  <cp:lastPrinted>2020-03-27T05:28:00Z</cp:lastPrinted>
  <dcterms:created xsi:type="dcterms:W3CDTF">2020-04-02T11:15:00Z</dcterms:created>
  <dcterms:modified xsi:type="dcterms:W3CDTF">2020-04-02T11:15:00Z</dcterms:modified>
</cp:coreProperties>
</file>